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75C7A1A3"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225510">
        <w:rPr>
          <w:rFonts w:ascii="Arial" w:hAnsi="Arial"/>
          <w:b/>
          <w:lang w:val="en-US"/>
        </w:rPr>
        <w:t>2</w:t>
      </w:r>
      <w:r w:rsidR="00D6375C" w:rsidRPr="00536C1E">
        <w:rPr>
          <w:rFonts w:ascii="Arial" w:hAnsi="Arial"/>
          <w:b/>
          <w:lang w:val="en-US"/>
        </w:rPr>
        <w:tab/>
      </w:r>
      <w:r w:rsidR="00AE74E3" w:rsidRPr="00AE74E3">
        <w:rPr>
          <w:rFonts w:ascii="Arial" w:hAnsi="Arial"/>
          <w:b/>
          <w:lang w:val="en-US"/>
        </w:rPr>
        <w:t>R1-1802055</w:t>
      </w:r>
    </w:p>
    <w:p w14:paraId="66354B83" w14:textId="102C472B" w:rsidR="00113916" w:rsidRPr="00F97042" w:rsidRDefault="00C27270" w:rsidP="00113916">
      <w:pPr>
        <w:rPr>
          <w:rFonts w:ascii="Arial" w:hAnsi="Arial"/>
          <w:b/>
          <w:lang w:val="en-AU"/>
        </w:rPr>
      </w:pPr>
      <w:r w:rsidRPr="00C27270">
        <w:rPr>
          <w:rFonts w:ascii="Arial" w:hAnsi="Arial"/>
          <w:b/>
          <w:lang w:val="en-AU"/>
        </w:rPr>
        <w:t>Athens, Greece, February 26th – March 2nd, 201</w:t>
      </w:r>
      <w:r>
        <w:rPr>
          <w:rFonts w:ascii="Arial" w:hAnsi="Arial"/>
          <w:b/>
          <w:lang w:val="en-AU"/>
        </w:rPr>
        <w:t>8</w:t>
      </w:r>
    </w:p>
    <w:p w14:paraId="259EC765" w14:textId="7DF439D8"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AE74E3">
        <w:rPr>
          <w:b/>
          <w:lang w:val="en-US"/>
        </w:rPr>
        <w:t>6.2.5.2</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32303E99"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AE74E3" w:rsidRPr="00AE74E3">
        <w:rPr>
          <w:b/>
          <w:color w:val="000000"/>
          <w:lang w:val="en-US"/>
        </w:rPr>
        <w:t>Consideration</w:t>
      </w:r>
      <w:r w:rsidR="00A01C17">
        <w:rPr>
          <w:b/>
          <w:color w:val="000000"/>
          <w:lang w:val="en-US"/>
        </w:rPr>
        <w:t>s</w:t>
      </w:r>
      <w:r w:rsidR="00AE74E3" w:rsidRPr="00AE74E3">
        <w:rPr>
          <w:b/>
          <w:color w:val="000000"/>
          <w:lang w:val="en-US"/>
        </w:rPr>
        <w:t xml:space="preserve"> in EDT using Message 3</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6FBD8C74" w14:textId="48DE4C9C" w:rsidR="009E6EC6" w:rsidRDefault="009E6EC6" w:rsidP="00226014">
      <w:pPr>
        <w:jc w:val="both"/>
        <w:rPr>
          <w:lang w:val="en-US"/>
        </w:rPr>
      </w:pPr>
      <w:r>
        <w:rPr>
          <w:lang w:val="en-US"/>
        </w:rPr>
        <w:t xml:space="preserve">In </w:t>
      </w:r>
      <w:r w:rsidR="006A0F6C">
        <w:rPr>
          <w:lang w:val="en-US"/>
        </w:rPr>
        <w:t>RAN2#100, the following was agre</w:t>
      </w:r>
      <w:r>
        <w:rPr>
          <w:lang w:val="en-US"/>
        </w:rPr>
        <w:t>ed:</w:t>
      </w:r>
    </w:p>
    <w:p w14:paraId="3595145E" w14:textId="77777777" w:rsidR="009E6EC6" w:rsidRPr="006A0F6C" w:rsidRDefault="009E6EC6" w:rsidP="006A0F6C">
      <w:pPr>
        <w:pStyle w:val="ListParagraph"/>
        <w:numPr>
          <w:ilvl w:val="0"/>
          <w:numId w:val="24"/>
        </w:numPr>
        <w:tabs>
          <w:tab w:val="left" w:pos="14"/>
        </w:tabs>
        <w:spacing w:before="60"/>
        <w:rPr>
          <w:i/>
          <w:noProof/>
        </w:rPr>
      </w:pPr>
      <w:r w:rsidRPr="006A0F6C">
        <w:rPr>
          <w:i/>
          <w:noProof/>
        </w:rPr>
        <w:t>The UE initiates EDT in Msg1 when the size of Msg3 including the user data, which UE intends to transmit, is equal or smaller than the maximum possible TBS size for Msg3 broadcast per CE.</w:t>
      </w:r>
    </w:p>
    <w:p w14:paraId="333B2D65" w14:textId="5B0F988B" w:rsidR="009E6EC6" w:rsidRPr="006A0F6C" w:rsidRDefault="009E6EC6" w:rsidP="006A0F6C">
      <w:pPr>
        <w:pStyle w:val="ListParagraph"/>
        <w:numPr>
          <w:ilvl w:val="0"/>
          <w:numId w:val="24"/>
        </w:numPr>
        <w:tabs>
          <w:tab w:val="left" w:pos="340"/>
        </w:tabs>
        <w:spacing w:before="60"/>
        <w:rPr>
          <w:i/>
          <w:noProof/>
        </w:rPr>
      </w:pPr>
      <w:r w:rsidRPr="006A0F6C">
        <w:rPr>
          <w:i/>
          <w:noProof/>
        </w:rPr>
        <w:t>PRACH partitioning for EDT indication is configured per enhanced coverage level.</w:t>
      </w:r>
    </w:p>
    <w:p w14:paraId="00494DF8" w14:textId="005BEC55" w:rsidR="009E6EC6" w:rsidRPr="006A0F6C" w:rsidRDefault="009E6EC6" w:rsidP="006A0F6C">
      <w:pPr>
        <w:pStyle w:val="ListParagraph"/>
        <w:numPr>
          <w:ilvl w:val="0"/>
          <w:numId w:val="24"/>
        </w:numPr>
        <w:tabs>
          <w:tab w:val="left" w:pos="340"/>
        </w:tabs>
        <w:spacing w:before="60"/>
        <w:rPr>
          <w:i/>
          <w:noProof/>
        </w:rPr>
      </w:pPr>
      <w:r w:rsidRPr="006A0F6C">
        <w:rPr>
          <w:i/>
          <w:noProof/>
        </w:rPr>
        <w:t>Working assumption: Support for segmentation for this case is not prioritized.</w:t>
      </w:r>
    </w:p>
    <w:p w14:paraId="1740C125" w14:textId="7534FBA6" w:rsidR="009E6EC6" w:rsidRPr="006A0F6C" w:rsidRDefault="009E6EC6" w:rsidP="006A0F6C">
      <w:pPr>
        <w:pStyle w:val="ListParagraph"/>
        <w:numPr>
          <w:ilvl w:val="0"/>
          <w:numId w:val="24"/>
        </w:numPr>
        <w:tabs>
          <w:tab w:val="left" w:pos="156"/>
        </w:tabs>
        <w:spacing w:before="60"/>
        <w:rPr>
          <w:i/>
          <w:noProof/>
        </w:rPr>
      </w:pPr>
      <w:r w:rsidRPr="006A0F6C">
        <w:rPr>
          <w:i/>
          <w:noProof/>
        </w:rPr>
        <w:t>Working assumption: PRACH resource partitioning is not supported to indicate the intended data size other than legacy or maximum TBS broadcast per CE.</w:t>
      </w:r>
    </w:p>
    <w:p w14:paraId="2A3E55B4" w14:textId="0CA709E4" w:rsidR="009E6EC6" w:rsidRPr="006A0F6C" w:rsidRDefault="009E6EC6" w:rsidP="006A0F6C">
      <w:pPr>
        <w:pStyle w:val="ListParagraph"/>
        <w:numPr>
          <w:ilvl w:val="0"/>
          <w:numId w:val="24"/>
        </w:numPr>
        <w:tabs>
          <w:tab w:val="left" w:pos="340"/>
        </w:tabs>
        <w:spacing w:before="60"/>
        <w:rPr>
          <w:i/>
          <w:noProof/>
        </w:rPr>
      </w:pPr>
      <w:r w:rsidRPr="006A0F6C">
        <w:rPr>
          <w:i/>
          <w:noProof/>
        </w:rPr>
        <w:t>FFS how to adress the padding issue in Msg3.</w:t>
      </w:r>
    </w:p>
    <w:p w14:paraId="346A9125" w14:textId="7F332998" w:rsidR="009E6EC6" w:rsidRPr="006A0F6C" w:rsidRDefault="009E6EC6" w:rsidP="006A0F6C">
      <w:pPr>
        <w:pStyle w:val="ListParagraph"/>
        <w:numPr>
          <w:ilvl w:val="0"/>
          <w:numId w:val="24"/>
        </w:numPr>
        <w:tabs>
          <w:tab w:val="left" w:pos="340"/>
        </w:tabs>
        <w:spacing w:before="60"/>
        <w:rPr>
          <w:i/>
          <w:noProof/>
        </w:rPr>
      </w:pPr>
      <w:r w:rsidRPr="006A0F6C">
        <w:rPr>
          <w:i/>
          <w:noProof/>
        </w:rPr>
        <w:t>UE category is not indicated in Msg1.</w:t>
      </w:r>
    </w:p>
    <w:p w14:paraId="774F11AE" w14:textId="68CFAE24" w:rsidR="009E6EC6" w:rsidRPr="006A0F6C" w:rsidRDefault="009E6EC6" w:rsidP="006A0F6C">
      <w:pPr>
        <w:pStyle w:val="ListParagraph"/>
        <w:numPr>
          <w:ilvl w:val="0"/>
          <w:numId w:val="24"/>
        </w:numPr>
        <w:tabs>
          <w:tab w:val="left" w:pos="156"/>
        </w:tabs>
        <w:spacing w:before="60"/>
        <w:rPr>
          <w:i/>
          <w:noProof/>
        </w:rPr>
      </w:pPr>
      <w:r w:rsidRPr="006A0F6C">
        <w:rPr>
          <w:i/>
          <w:noProof/>
        </w:rPr>
        <w:t>For EDT indication, PRACH resources can be configured as in legacy eMTC or NB-IoT with respect to physical layer resources, preambles/subcarriers.</w:t>
      </w:r>
    </w:p>
    <w:p w14:paraId="2F6626DD" w14:textId="02589A16" w:rsidR="009E6EC6" w:rsidRDefault="009E6EC6" w:rsidP="006A0F6C">
      <w:pPr>
        <w:pStyle w:val="ListParagraph"/>
        <w:numPr>
          <w:ilvl w:val="0"/>
          <w:numId w:val="24"/>
        </w:numPr>
        <w:tabs>
          <w:tab w:val="left" w:pos="156"/>
        </w:tabs>
        <w:spacing w:before="60"/>
        <w:rPr>
          <w:noProof/>
        </w:rPr>
      </w:pPr>
      <w:r w:rsidRPr="006A0F6C">
        <w:rPr>
          <w:i/>
          <w:noProof/>
        </w:rPr>
        <w:t xml:space="preserve">PRACH resource pool, i.e. physical layer resources, preambles/subcarriers, for EDT indication is separate from PRACH resource </w:t>
      </w:r>
      <w:r>
        <w:rPr>
          <w:noProof/>
        </w:rPr>
        <w:t>pool for legacy RACH procedure.</w:t>
      </w:r>
    </w:p>
    <w:p w14:paraId="55C2387F" w14:textId="77777777" w:rsidR="009E6EC6" w:rsidRDefault="009E6EC6" w:rsidP="00226014">
      <w:pPr>
        <w:jc w:val="both"/>
        <w:rPr>
          <w:lang w:val="en-US"/>
        </w:rPr>
      </w:pPr>
    </w:p>
    <w:p w14:paraId="1518410D" w14:textId="79A8AB40" w:rsidR="00E9249F" w:rsidRDefault="00E9249F" w:rsidP="00226014">
      <w:pPr>
        <w:jc w:val="both"/>
        <w:rPr>
          <w:lang w:val="en-US"/>
        </w:rPr>
      </w:pPr>
      <w:r>
        <w:rPr>
          <w:lang w:val="en-US"/>
        </w:rPr>
        <w:t>In RAN1</w:t>
      </w:r>
      <w:r w:rsidR="0014453B">
        <w:rPr>
          <w:lang w:val="en-US"/>
        </w:rPr>
        <w:t>#9</w:t>
      </w:r>
      <w:r w:rsidR="009E6EC6">
        <w:rPr>
          <w:lang w:val="en-US"/>
        </w:rPr>
        <w:t>1</w:t>
      </w:r>
      <w:r>
        <w:rPr>
          <w:lang w:val="en-US"/>
        </w:rPr>
        <w:t xml:space="preserve">, we </w:t>
      </w:r>
      <w:r w:rsidR="00202952">
        <w:rPr>
          <w:lang w:val="en-US"/>
        </w:rPr>
        <w:t>agreed on the following</w:t>
      </w:r>
      <w:r>
        <w:rPr>
          <w:lang w:val="en-US"/>
        </w:rPr>
        <w:t>:</w:t>
      </w:r>
    </w:p>
    <w:p w14:paraId="56BEBB66" w14:textId="77777777" w:rsidR="009E6EC6" w:rsidRPr="006A0F6C" w:rsidRDefault="009E6EC6" w:rsidP="009E6EC6">
      <w:pPr>
        <w:numPr>
          <w:ilvl w:val="0"/>
          <w:numId w:val="23"/>
        </w:numPr>
        <w:spacing w:after="0" w:line="240" w:lineRule="auto"/>
        <w:rPr>
          <w:rFonts w:eastAsia="Yu Mincho"/>
          <w:i/>
          <w:szCs w:val="20"/>
          <w:lang w:val="en-US"/>
        </w:rPr>
      </w:pPr>
      <w:r w:rsidRPr="006A0F6C">
        <w:rPr>
          <w:rFonts w:eastAsia="Yu Mincho"/>
          <w:i/>
          <w:szCs w:val="20"/>
        </w:rPr>
        <w:t>Maximum TBS for early data transmission in Msg3 is 1000 bits for PRACH CE levels 0 and 1 and 936 bits for PRACH CE levels 2 and 3</w:t>
      </w:r>
    </w:p>
    <w:p w14:paraId="6E280959" w14:textId="77777777" w:rsidR="009E6EC6" w:rsidRPr="006A0F6C" w:rsidRDefault="009E6EC6" w:rsidP="009E6EC6">
      <w:pPr>
        <w:numPr>
          <w:ilvl w:val="0"/>
          <w:numId w:val="23"/>
        </w:numPr>
        <w:spacing w:after="0" w:line="240" w:lineRule="auto"/>
        <w:rPr>
          <w:rFonts w:eastAsia="Yu Mincho"/>
          <w:i/>
          <w:szCs w:val="20"/>
          <w:lang w:val="en-US"/>
        </w:rPr>
      </w:pPr>
      <w:r w:rsidRPr="006A0F6C">
        <w:rPr>
          <w:rFonts w:eastAsia="Yu Mincho"/>
          <w:i/>
          <w:szCs w:val="20"/>
        </w:rPr>
        <w:t>Ask RAN2 whether one reserved bit in MAC RAR can be used for EDT feature</w:t>
      </w:r>
    </w:p>
    <w:p w14:paraId="406C0BAA" w14:textId="77777777" w:rsidR="00202952" w:rsidRDefault="00202952" w:rsidP="00226014">
      <w:pPr>
        <w:jc w:val="both"/>
        <w:rPr>
          <w:rFonts w:eastAsia="MS Mincho"/>
          <w:lang w:val="en-US"/>
        </w:rPr>
      </w:pPr>
    </w:p>
    <w:p w14:paraId="6025AA25" w14:textId="7FDE4FD1" w:rsidR="00187E09" w:rsidRDefault="0014453B" w:rsidP="00226014">
      <w:pPr>
        <w:jc w:val="both"/>
        <w:rPr>
          <w:rFonts w:eastAsia="MS Mincho"/>
          <w:lang w:val="en-US"/>
        </w:rPr>
      </w:pPr>
      <w:r>
        <w:rPr>
          <w:rFonts w:eastAsia="MS Mincho"/>
          <w:lang w:val="en-US"/>
        </w:rPr>
        <w:t xml:space="preserve">This contribution </w:t>
      </w:r>
      <w:r w:rsidR="00C27270">
        <w:rPr>
          <w:rFonts w:eastAsia="MS Mincho"/>
          <w:lang w:val="en-US"/>
        </w:rPr>
        <w:t xml:space="preserve">discusses </w:t>
      </w:r>
      <w:r w:rsidR="006A0F6C">
        <w:rPr>
          <w:rFonts w:eastAsia="MS Mincho"/>
          <w:lang w:val="en-US"/>
        </w:rPr>
        <w:t>some consideration</w:t>
      </w:r>
      <w:r w:rsidR="00A01C17">
        <w:rPr>
          <w:rFonts w:eastAsia="MS Mincho"/>
          <w:lang w:val="en-US"/>
        </w:rPr>
        <w:t>s</w:t>
      </w:r>
      <w:bookmarkStart w:id="13" w:name="_GoBack"/>
      <w:bookmarkEnd w:id="13"/>
      <w:r w:rsidR="006A0F6C">
        <w:rPr>
          <w:rFonts w:eastAsia="MS Mincho"/>
          <w:lang w:val="en-US"/>
        </w:rPr>
        <w:t xml:space="preserve"> in using PRACH partitioning for EDT for Msg3.</w:t>
      </w:r>
    </w:p>
    <w:p w14:paraId="434C199A" w14:textId="1B107111" w:rsidR="00AE0A7B" w:rsidRDefault="00843DCB" w:rsidP="00AE0A7B">
      <w:pPr>
        <w:pStyle w:val="Heading1"/>
        <w:numPr>
          <w:ilvl w:val="0"/>
          <w:numId w:val="9"/>
        </w:numPr>
        <w:spacing w:after="120"/>
        <w:ind w:left="357" w:hanging="357"/>
      </w:pPr>
      <w:r>
        <w:t>Discussions</w:t>
      </w:r>
    </w:p>
    <w:p w14:paraId="6D21720A" w14:textId="5AF05DB7" w:rsidR="006A0F6C" w:rsidRDefault="006A0F6C" w:rsidP="006A0F6C">
      <w:pPr>
        <w:rPr>
          <w:rFonts w:eastAsia="MS Mincho"/>
        </w:rPr>
      </w:pPr>
      <w:r>
        <w:rPr>
          <w:rFonts w:eastAsia="MS Mincho"/>
        </w:rPr>
        <w:t>The UE indicates a request for Msg3 EDT using a reserved pool of PRACH</w:t>
      </w:r>
      <w:r w:rsidR="003E3A73">
        <w:rPr>
          <w:rFonts w:eastAsia="MS Mincho"/>
        </w:rPr>
        <w:t xml:space="preserve"> preambles</w:t>
      </w:r>
      <w:r>
        <w:rPr>
          <w:rFonts w:eastAsia="MS Mincho"/>
        </w:rPr>
        <w:t xml:space="preserve">.  </w:t>
      </w:r>
      <w:r w:rsidR="003E3A73">
        <w:rPr>
          <w:rFonts w:eastAsia="MS Mincho"/>
        </w:rPr>
        <w:t xml:space="preserve">Since </w:t>
      </w:r>
      <w:r>
        <w:rPr>
          <w:rFonts w:eastAsia="MS Mincho"/>
        </w:rPr>
        <w:t>PRACH partitioning would reduce the PRACH space for legacy UEs</w:t>
      </w:r>
      <w:r w:rsidR="003E3A73">
        <w:rPr>
          <w:rFonts w:eastAsia="MS Mincho"/>
        </w:rPr>
        <w:t>,</w:t>
      </w:r>
      <w:r>
        <w:rPr>
          <w:rFonts w:eastAsia="MS Mincho"/>
        </w:rPr>
        <w:t xml:space="preserve"> as noted in [1] and [2], instead, it is proposed that </w:t>
      </w:r>
      <w:r w:rsidR="003E3A73">
        <w:rPr>
          <w:rFonts w:eastAsia="MS Mincho"/>
        </w:rPr>
        <w:t xml:space="preserve">the EDT </w:t>
      </w:r>
      <w:r w:rsidR="004C78F6">
        <w:rPr>
          <w:rFonts w:eastAsia="MS Mincho"/>
        </w:rPr>
        <w:t xml:space="preserve">PRACH resource and </w:t>
      </w:r>
      <w:r>
        <w:rPr>
          <w:rFonts w:eastAsia="MS Mincho"/>
        </w:rPr>
        <w:t xml:space="preserve">partition </w:t>
      </w:r>
      <w:r w:rsidR="004C78F6">
        <w:rPr>
          <w:rFonts w:eastAsia="MS Mincho"/>
        </w:rPr>
        <w:t>are</w:t>
      </w:r>
      <w:r>
        <w:rPr>
          <w:rFonts w:eastAsia="MS Mincho"/>
        </w:rPr>
        <w:t xml:space="preserve"> also shared with legacy UE</w:t>
      </w:r>
      <w:r w:rsidR="003E3A73">
        <w:rPr>
          <w:rFonts w:eastAsia="MS Mincho"/>
        </w:rPr>
        <w:t>s</w:t>
      </w:r>
      <w:r>
        <w:rPr>
          <w:rFonts w:eastAsia="MS Mincho"/>
        </w:rPr>
        <w:t>, that is, the legacy UE can also use the same partition.</w:t>
      </w:r>
    </w:p>
    <w:p w14:paraId="7DBFA1D2" w14:textId="3BAFE109" w:rsidR="006A0F6C" w:rsidRPr="006A0F6C" w:rsidRDefault="006A0F6C" w:rsidP="006A0F6C">
      <w:pPr>
        <w:rPr>
          <w:rFonts w:eastAsia="MS Mincho"/>
          <w:b/>
        </w:rPr>
      </w:pPr>
      <w:r w:rsidRPr="006A0F6C">
        <w:rPr>
          <w:rFonts w:eastAsia="MS Mincho"/>
          <w:b/>
        </w:rPr>
        <w:t>Observation 1: PRACH partitioning reduces the PRACH resources for both EDT capable UE and legacy (Rel-13 and Rel-14) MTC UEs.</w:t>
      </w:r>
    </w:p>
    <w:p w14:paraId="6558F7E6" w14:textId="77777777" w:rsidR="006A0F6C" w:rsidRDefault="006A0F6C" w:rsidP="006A0F6C">
      <w:pPr>
        <w:rPr>
          <w:rFonts w:eastAsia="MS Mincho"/>
        </w:rPr>
      </w:pPr>
    </w:p>
    <w:p w14:paraId="3433E2C1" w14:textId="537F506F" w:rsidR="006A0F6C" w:rsidRDefault="006A0F6C" w:rsidP="006A0F6C">
      <w:pPr>
        <w:rPr>
          <w:rFonts w:eastAsia="MS Mincho"/>
        </w:rPr>
      </w:pPr>
      <w:r>
        <w:rPr>
          <w:rFonts w:eastAsia="MS Mincho"/>
        </w:rPr>
        <w:t xml:space="preserve">It should also be noted that in RAN1#91, we proposed to use a reserved bit in the RAR to indicate scheduling for EDT in Msg3.  If a PRACH partition for EDT is not shared with legacy UE, there is no need to </w:t>
      </w:r>
      <w:r>
        <w:rPr>
          <w:rFonts w:eastAsia="MS Mincho"/>
        </w:rPr>
        <w:lastRenderedPageBreak/>
        <w:t>ensure RAR is backward compatible by using this reserved bit but instead, a new RAR format can be defined which would be a cleaner solution for scheduling of EDT capable UE</w:t>
      </w:r>
      <w:r w:rsidR="003E3A73">
        <w:rPr>
          <w:rFonts w:eastAsia="MS Mincho"/>
        </w:rPr>
        <w:t>s</w:t>
      </w:r>
      <w:r>
        <w:rPr>
          <w:rFonts w:eastAsia="MS Mincho"/>
        </w:rPr>
        <w:t>.</w:t>
      </w:r>
    </w:p>
    <w:p w14:paraId="397EACA0" w14:textId="53D8B9FC" w:rsidR="006A0F6C" w:rsidRPr="006A0F6C" w:rsidRDefault="006A0F6C" w:rsidP="006A0F6C">
      <w:pPr>
        <w:rPr>
          <w:rFonts w:eastAsia="MS Mincho"/>
          <w:b/>
          <w:lang w:val="en-US"/>
        </w:rPr>
      </w:pPr>
      <w:r w:rsidRPr="006A0F6C">
        <w:rPr>
          <w:rFonts w:eastAsia="MS Mincho"/>
          <w:b/>
        </w:rPr>
        <w:t>Observation 2: If the PRACH partition for EDT request indication is not shared with legacy UE, the RAR does not need to be backward compatible.</w:t>
      </w:r>
    </w:p>
    <w:p w14:paraId="4E397478" w14:textId="3C63E2B9" w:rsidR="00BE7EC9" w:rsidRDefault="00BE7EC9" w:rsidP="00226014">
      <w:pPr>
        <w:rPr>
          <w:rFonts w:eastAsia="MS Mincho"/>
          <w:b/>
          <w:lang w:val="en-US"/>
        </w:rPr>
      </w:pPr>
    </w:p>
    <w:p w14:paraId="5EFD9571" w14:textId="331B9BF8" w:rsidR="006A0F6C" w:rsidRDefault="006A0F6C" w:rsidP="00226014">
      <w:pPr>
        <w:rPr>
          <w:rFonts w:eastAsia="MS Mincho"/>
          <w:lang w:val="en-US"/>
        </w:rPr>
      </w:pPr>
      <w:r>
        <w:rPr>
          <w:rFonts w:eastAsia="MS Mincho"/>
          <w:lang w:val="en-US"/>
        </w:rPr>
        <w:t>However, since we agreed to make the RAR backwards compatible by using the reserved bit</w:t>
      </w:r>
      <w:r w:rsidR="00784908">
        <w:rPr>
          <w:rFonts w:eastAsia="MS Mincho"/>
          <w:lang w:val="en-US"/>
        </w:rPr>
        <w:t xml:space="preserve">, it would therefore be beneficial to allow the PRACH partition for EDT request indication to also </w:t>
      </w:r>
      <w:r w:rsidR="003E3A73">
        <w:rPr>
          <w:rFonts w:eastAsia="MS Mincho"/>
          <w:lang w:val="en-US"/>
        </w:rPr>
        <w:t xml:space="preserve">be </w:t>
      </w:r>
      <w:r w:rsidR="00784908">
        <w:rPr>
          <w:rFonts w:eastAsia="MS Mincho"/>
          <w:lang w:val="en-US"/>
        </w:rPr>
        <w:t>share</w:t>
      </w:r>
      <w:r w:rsidR="003E3A73">
        <w:rPr>
          <w:rFonts w:eastAsia="MS Mincho"/>
          <w:lang w:val="en-US"/>
        </w:rPr>
        <w:t>d</w:t>
      </w:r>
      <w:r w:rsidR="00784908">
        <w:rPr>
          <w:rFonts w:eastAsia="MS Mincho"/>
          <w:lang w:val="en-US"/>
        </w:rPr>
        <w:t xml:space="preserve"> with legacy UE</w:t>
      </w:r>
      <w:r w:rsidR="003E3A73">
        <w:rPr>
          <w:rFonts w:eastAsia="MS Mincho"/>
          <w:lang w:val="en-US"/>
        </w:rPr>
        <w:t>s</w:t>
      </w:r>
      <w:r w:rsidR="00784908">
        <w:rPr>
          <w:rFonts w:eastAsia="MS Mincho"/>
          <w:lang w:val="en-US"/>
        </w:rPr>
        <w:t>.</w:t>
      </w:r>
    </w:p>
    <w:p w14:paraId="048B5AEA" w14:textId="64B18C95" w:rsidR="00784908" w:rsidRPr="00784908" w:rsidRDefault="00784908" w:rsidP="00226014">
      <w:pPr>
        <w:rPr>
          <w:rFonts w:eastAsia="MS Mincho"/>
          <w:b/>
          <w:lang w:val="en-US"/>
        </w:rPr>
      </w:pPr>
      <w:r w:rsidRPr="00784908">
        <w:rPr>
          <w:rFonts w:eastAsia="MS Mincho"/>
          <w:b/>
          <w:lang w:val="en-US"/>
        </w:rPr>
        <w:t xml:space="preserve">Proposal 1: The PRACH </w:t>
      </w:r>
      <w:r w:rsidR="004C78F6">
        <w:rPr>
          <w:rFonts w:eastAsia="MS Mincho"/>
          <w:b/>
          <w:lang w:val="en-US"/>
        </w:rPr>
        <w:t>resource/</w:t>
      </w:r>
      <w:r w:rsidRPr="00784908">
        <w:rPr>
          <w:rFonts w:eastAsia="MS Mincho"/>
          <w:b/>
          <w:lang w:val="en-US"/>
        </w:rPr>
        <w:t xml:space="preserve">partition for Msg3 EDT request indication can be configured to </w:t>
      </w:r>
      <w:r w:rsidR="003E3A73">
        <w:rPr>
          <w:rFonts w:eastAsia="MS Mincho"/>
          <w:b/>
          <w:lang w:val="en-US"/>
        </w:rPr>
        <w:t xml:space="preserve">be </w:t>
      </w:r>
      <w:r w:rsidRPr="00784908">
        <w:rPr>
          <w:rFonts w:eastAsia="MS Mincho"/>
          <w:b/>
          <w:lang w:val="en-US"/>
        </w:rPr>
        <w:t>share</w:t>
      </w:r>
      <w:r w:rsidR="003E3A73">
        <w:rPr>
          <w:rFonts w:eastAsia="MS Mincho"/>
          <w:b/>
          <w:lang w:val="en-US"/>
        </w:rPr>
        <w:t>d</w:t>
      </w:r>
      <w:r w:rsidRPr="00784908">
        <w:rPr>
          <w:rFonts w:eastAsia="MS Mincho"/>
          <w:b/>
          <w:lang w:val="en-US"/>
        </w:rPr>
        <w:t xml:space="preserve"> with legacy (Rel-13 and Rel-14) UEs.</w:t>
      </w:r>
    </w:p>
    <w:p w14:paraId="2D6A9858" w14:textId="77777777" w:rsidR="00784908" w:rsidRDefault="00784908" w:rsidP="00226014">
      <w:pPr>
        <w:rPr>
          <w:rFonts w:eastAsia="MS Mincho"/>
          <w:lang w:val="en-US"/>
        </w:rPr>
      </w:pPr>
    </w:p>
    <w:p w14:paraId="1CD87C0E" w14:textId="0DC46533" w:rsidR="004C78F6" w:rsidRDefault="00784908" w:rsidP="00226014">
      <w:pPr>
        <w:rPr>
          <w:rFonts w:eastAsia="MS Mincho"/>
          <w:lang w:val="en-US"/>
        </w:rPr>
      </w:pPr>
      <w:r>
        <w:rPr>
          <w:rFonts w:eastAsia="MS Mincho"/>
          <w:lang w:val="en-US"/>
        </w:rPr>
        <w:t>If the PRACH for Msg3 EDT request indication is shared with legacy UE</w:t>
      </w:r>
      <w:r w:rsidR="003E3A73">
        <w:rPr>
          <w:rFonts w:eastAsia="MS Mincho"/>
          <w:lang w:val="en-US"/>
        </w:rPr>
        <w:t>s</w:t>
      </w:r>
      <w:r>
        <w:rPr>
          <w:rFonts w:eastAsia="MS Mincho"/>
          <w:lang w:val="en-US"/>
        </w:rPr>
        <w:t>, then the eNB would need to distinguish the Msg3 from EDT and legacy UE</w:t>
      </w:r>
      <w:r w:rsidR="003E3A73">
        <w:rPr>
          <w:rFonts w:eastAsia="MS Mincho"/>
          <w:lang w:val="en-US"/>
        </w:rPr>
        <w:t>s</w:t>
      </w:r>
      <w:r>
        <w:rPr>
          <w:rFonts w:eastAsia="MS Mincho"/>
          <w:lang w:val="en-US"/>
        </w:rPr>
        <w:t xml:space="preserve">.  </w:t>
      </w:r>
      <w:r w:rsidR="004C78F6">
        <w:rPr>
          <w:rFonts w:eastAsia="MS Mincho"/>
          <w:lang w:val="en-US"/>
        </w:rPr>
        <w:t>One way of doing this is to have a separate CSS for the retransmission of Msg3, that is an EDT-CSS.  We expect that in most cases</w:t>
      </w:r>
      <w:r w:rsidR="00BB157D">
        <w:rPr>
          <w:rFonts w:eastAsia="MS Mincho"/>
          <w:lang w:val="en-US"/>
        </w:rPr>
        <w:t xml:space="preserve"> (90%)</w:t>
      </w:r>
      <w:r w:rsidR="004C78F6">
        <w:rPr>
          <w:rFonts w:eastAsia="MS Mincho"/>
          <w:lang w:val="en-US"/>
        </w:rPr>
        <w:t>, Message 3 will</w:t>
      </w:r>
      <w:r w:rsidR="00BB157D">
        <w:rPr>
          <w:rFonts w:eastAsia="MS Mincho"/>
          <w:lang w:val="en-US"/>
        </w:rPr>
        <w:t xml:space="preserve"> get through in the 1</w:t>
      </w:r>
      <w:r w:rsidR="00BB157D" w:rsidRPr="0069618E">
        <w:rPr>
          <w:rFonts w:eastAsia="MS Mincho"/>
          <w:vertAlign w:val="superscript"/>
          <w:lang w:val="en-US"/>
        </w:rPr>
        <w:t>st</w:t>
      </w:r>
      <w:r w:rsidR="00BB157D">
        <w:rPr>
          <w:rFonts w:eastAsia="MS Mincho"/>
          <w:lang w:val="en-US"/>
        </w:rPr>
        <w:t xml:space="preserve"> transmission.  However, if there is a collision in PRACH due to sharing of PRACH, then if the eNB ask</w:t>
      </w:r>
      <w:r w:rsidR="009E3809">
        <w:rPr>
          <w:rFonts w:eastAsia="MS Mincho"/>
          <w:lang w:val="en-US"/>
        </w:rPr>
        <w:t>s</w:t>
      </w:r>
      <w:r w:rsidR="00BB157D">
        <w:rPr>
          <w:rFonts w:eastAsia="MS Mincho"/>
          <w:lang w:val="en-US"/>
        </w:rPr>
        <w:t xml:space="preserve"> for a retransmission, it can decide on either scheduling different resources for the Msg3 retransmission for EDT UE</w:t>
      </w:r>
      <w:r w:rsidR="009E3809">
        <w:rPr>
          <w:rFonts w:eastAsia="MS Mincho"/>
          <w:lang w:val="en-US"/>
        </w:rPr>
        <w:t>s</w:t>
      </w:r>
      <w:r w:rsidR="00BB157D">
        <w:rPr>
          <w:rFonts w:eastAsia="MS Mincho"/>
          <w:lang w:val="en-US"/>
        </w:rPr>
        <w:t xml:space="preserve"> and legacy UE</w:t>
      </w:r>
      <w:r w:rsidR="009E3809">
        <w:rPr>
          <w:rFonts w:eastAsia="MS Mincho"/>
          <w:lang w:val="en-US"/>
        </w:rPr>
        <w:t>s</w:t>
      </w:r>
      <w:r w:rsidR="00BB157D">
        <w:rPr>
          <w:rFonts w:eastAsia="MS Mincho"/>
          <w:lang w:val="en-US"/>
        </w:rPr>
        <w:t xml:space="preserve"> or select</w:t>
      </w:r>
      <w:r w:rsidR="0069618E">
        <w:rPr>
          <w:rFonts w:eastAsia="MS Mincho"/>
          <w:lang w:val="en-US"/>
        </w:rPr>
        <w:t>s</w:t>
      </w:r>
      <w:r w:rsidR="00BB157D">
        <w:rPr>
          <w:rFonts w:eastAsia="MS Mincho"/>
          <w:lang w:val="en-US"/>
        </w:rPr>
        <w:t xml:space="preserve"> one of them for retransmission.  This is described in the signaling diagram in </w:t>
      </w:r>
      <w:r w:rsidR="00BB157D">
        <w:rPr>
          <w:rFonts w:eastAsia="MS Mincho"/>
          <w:lang w:val="en-US"/>
        </w:rPr>
        <w:fldChar w:fldCharType="begin"/>
      </w:r>
      <w:r w:rsidR="00BB157D">
        <w:rPr>
          <w:rFonts w:eastAsia="MS Mincho"/>
          <w:lang w:val="en-US"/>
        </w:rPr>
        <w:instrText xml:space="preserve"> REF _Ref506545002 \h </w:instrText>
      </w:r>
      <w:r w:rsidR="00BB157D">
        <w:rPr>
          <w:rFonts w:eastAsia="MS Mincho"/>
          <w:lang w:val="en-US"/>
        </w:rPr>
      </w:r>
      <w:r w:rsidR="00BB157D">
        <w:rPr>
          <w:rFonts w:eastAsia="MS Mincho"/>
          <w:lang w:val="en-US"/>
        </w:rPr>
        <w:fldChar w:fldCharType="separate"/>
      </w:r>
      <w:r w:rsidR="00BB157D">
        <w:t xml:space="preserve">Figure </w:t>
      </w:r>
      <w:r w:rsidR="00BB157D">
        <w:rPr>
          <w:noProof/>
        </w:rPr>
        <w:t>1</w:t>
      </w:r>
      <w:r w:rsidR="00BB157D">
        <w:rPr>
          <w:rFonts w:eastAsia="MS Mincho"/>
          <w:lang w:val="en-US"/>
        </w:rPr>
        <w:fldChar w:fldCharType="end"/>
      </w:r>
      <w:r w:rsidR="00BB157D">
        <w:rPr>
          <w:rFonts w:eastAsia="MS Mincho"/>
          <w:lang w:val="en-US"/>
        </w:rPr>
        <w:t xml:space="preserve">, where here we assume that there is a collision in the PRACH between </w:t>
      </w:r>
      <w:r w:rsidR="009E3809">
        <w:rPr>
          <w:rFonts w:eastAsia="MS Mincho"/>
          <w:lang w:val="en-US"/>
        </w:rPr>
        <w:t xml:space="preserve">the </w:t>
      </w:r>
      <w:r w:rsidR="00BB157D">
        <w:rPr>
          <w:rFonts w:eastAsia="MS Mincho"/>
          <w:lang w:val="en-US"/>
        </w:rPr>
        <w:t>EDT UE and legacy UE.  The eNB decides to grant EDT and set</w:t>
      </w:r>
      <w:r w:rsidR="009E3809">
        <w:rPr>
          <w:rFonts w:eastAsia="MS Mincho"/>
          <w:lang w:val="en-US"/>
        </w:rPr>
        <w:t>s</w:t>
      </w:r>
      <w:r w:rsidR="00BB157D">
        <w:rPr>
          <w:rFonts w:eastAsia="MS Mincho"/>
          <w:lang w:val="en-US"/>
        </w:rPr>
        <w:t xml:space="preserve"> the reserved bit in the RAR which is received by both UEs.  The EDT UE recognizes that EDT is granted and transmits its Msg3 with EDT whilst the legacy UE does not recognize</w:t>
      </w:r>
      <w:r w:rsidR="0069618E">
        <w:rPr>
          <w:rFonts w:eastAsia="MS Mincho"/>
          <w:lang w:val="en-US"/>
        </w:rPr>
        <w:t>s</w:t>
      </w:r>
      <w:r w:rsidR="00BB157D">
        <w:rPr>
          <w:rFonts w:eastAsia="MS Mincho"/>
          <w:lang w:val="en-US"/>
        </w:rPr>
        <w:t xml:space="preserve"> this reserved bit and just transmit</w:t>
      </w:r>
      <w:r w:rsidR="009E3809">
        <w:rPr>
          <w:rFonts w:eastAsia="MS Mincho"/>
          <w:lang w:val="en-US"/>
        </w:rPr>
        <w:t>s</w:t>
      </w:r>
      <w:r w:rsidR="00BB157D">
        <w:rPr>
          <w:rFonts w:eastAsia="MS Mincho"/>
          <w:lang w:val="en-US"/>
        </w:rPr>
        <w:t xml:space="preserve"> the legacy Msg3.  Since there is a collision </w:t>
      </w:r>
      <w:r w:rsidR="0069618E">
        <w:rPr>
          <w:rFonts w:eastAsia="MS Mincho"/>
          <w:lang w:val="en-US"/>
        </w:rPr>
        <w:t>in</w:t>
      </w:r>
      <w:r w:rsidR="00BB157D">
        <w:rPr>
          <w:rFonts w:eastAsia="MS Mincho"/>
          <w:lang w:val="en-US"/>
        </w:rPr>
        <w:t xml:space="preserve"> Msg3, the eNB asked for a retransmission but this time, it schedules a different resource for retransmission of Msg3, i.e. eNB schedules PUSCH Resource A for EDT UE and PUSCH Resource B </w:t>
      </w:r>
      <w:r w:rsidR="009E3809">
        <w:rPr>
          <w:rFonts w:eastAsia="MS Mincho"/>
          <w:lang w:val="en-US"/>
        </w:rPr>
        <w:t xml:space="preserve">for </w:t>
      </w:r>
      <w:r w:rsidR="00BB157D">
        <w:rPr>
          <w:rFonts w:eastAsia="MS Mincho"/>
          <w:lang w:val="en-US"/>
        </w:rPr>
        <w:t xml:space="preserve">legacy UE for the retransmission of Msg3.  </w:t>
      </w:r>
      <w:r w:rsidR="00CF2BA4">
        <w:rPr>
          <w:rFonts w:eastAsia="MS Mincho"/>
          <w:lang w:val="en-US"/>
        </w:rPr>
        <w:t xml:space="preserve">The eNB uses EDT-CSS to transmit the UL grant for the retransmission for EDT UE and L-CSS (existing CSS used by legacy UE) to transmit the UL grant for the retransmission for legacy UE.  </w:t>
      </w:r>
      <w:r w:rsidR="00BB157D">
        <w:rPr>
          <w:rFonts w:eastAsia="MS Mincho"/>
          <w:lang w:val="en-US"/>
        </w:rPr>
        <w:t>Both UEs retransmit Msg3 using different PUSCH resources thereby avoiding further collision.  Although the eNB needs to schedule separate PUSCH resource and perform blind decoding on the retransmission of Msg3, this is only required when there is a HARQ retransmission (i.e. 10% of the time).</w:t>
      </w:r>
    </w:p>
    <w:p w14:paraId="381BD86A" w14:textId="3E3DBE28" w:rsidR="004C78F6" w:rsidRDefault="00BB157D" w:rsidP="0069618E">
      <w:pPr>
        <w:jc w:val="center"/>
        <w:rPr>
          <w:rFonts w:eastAsia="MS Mincho"/>
          <w:lang w:val="en-US"/>
        </w:rPr>
      </w:pPr>
      <w:r>
        <w:rPr>
          <w:rFonts w:eastAsia="MS Mincho"/>
          <w:noProof/>
          <w:lang w:eastAsia="en-GB"/>
        </w:rPr>
        <w:drawing>
          <wp:inline distT="0" distB="0" distL="0" distR="0" wp14:anchorId="37EF480A" wp14:editId="56816CF4">
            <wp:extent cx="4407535" cy="2560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07535" cy="2560320"/>
                    </a:xfrm>
                    <a:prstGeom prst="rect">
                      <a:avLst/>
                    </a:prstGeom>
                    <a:noFill/>
                  </pic:spPr>
                </pic:pic>
              </a:graphicData>
            </a:graphic>
          </wp:inline>
        </w:drawing>
      </w:r>
    </w:p>
    <w:p w14:paraId="61B4E57D" w14:textId="3D31218A" w:rsidR="00BB157D" w:rsidRDefault="00BB157D" w:rsidP="0069618E">
      <w:pPr>
        <w:pStyle w:val="Caption"/>
        <w:jc w:val="center"/>
        <w:rPr>
          <w:rFonts w:eastAsia="MS Mincho"/>
          <w:lang w:val="en-US"/>
        </w:rPr>
      </w:pPr>
      <w:bookmarkStart w:id="14" w:name="_Ref506545002"/>
      <w:r>
        <w:t xml:space="preserve">Figure </w:t>
      </w:r>
      <w:fldSimple w:instr=" SEQ Figure \* ARABIC ">
        <w:r>
          <w:rPr>
            <w:noProof/>
          </w:rPr>
          <w:t>1</w:t>
        </w:r>
      </w:fldSimple>
      <w:bookmarkEnd w:id="14"/>
      <w:r>
        <w:t>: Using different CSS to schedule retransmission of Msg3 for EDT and legacy UE</w:t>
      </w:r>
    </w:p>
    <w:p w14:paraId="1F4A1E3F" w14:textId="77777777" w:rsidR="004C78F6" w:rsidRDefault="004C78F6" w:rsidP="00226014">
      <w:pPr>
        <w:rPr>
          <w:rFonts w:eastAsia="MS Mincho"/>
          <w:lang w:val="en-US"/>
        </w:rPr>
      </w:pPr>
    </w:p>
    <w:p w14:paraId="6285B479" w14:textId="6DCEF835" w:rsidR="00BB157D" w:rsidRPr="0069618E" w:rsidRDefault="00BB157D" w:rsidP="00226014">
      <w:pPr>
        <w:rPr>
          <w:rFonts w:eastAsia="MS Mincho"/>
          <w:b/>
          <w:lang w:val="en-US"/>
        </w:rPr>
      </w:pPr>
      <w:r w:rsidRPr="0069618E">
        <w:rPr>
          <w:rFonts w:eastAsia="MS Mincho"/>
          <w:b/>
          <w:lang w:val="en-US"/>
        </w:rPr>
        <w:lastRenderedPageBreak/>
        <w:t>Proposal 2: If the PRACH resource/partition for EDT is shared with legacy UE, use a separate CSS for EDT and legacy UE in scheduling of the retransmission of Msg3.</w:t>
      </w:r>
    </w:p>
    <w:p w14:paraId="6ED9DA0E" w14:textId="77777777" w:rsidR="00C30E8F" w:rsidRPr="006E36E6" w:rsidRDefault="00C30E8F" w:rsidP="00226014">
      <w:pPr>
        <w:rPr>
          <w:rFonts w:eastAsia="MS Mincho"/>
          <w:lang w:val="en-US"/>
        </w:rPr>
      </w:pPr>
    </w:p>
    <w:p w14:paraId="7659EBED" w14:textId="77777777" w:rsidR="00226014" w:rsidRDefault="00226014" w:rsidP="00226014">
      <w:pPr>
        <w:pStyle w:val="Heading1"/>
        <w:numPr>
          <w:ilvl w:val="0"/>
          <w:numId w:val="9"/>
        </w:numPr>
      </w:pPr>
      <w:r>
        <w:t xml:space="preserve">  Conclusion</w:t>
      </w:r>
    </w:p>
    <w:p w14:paraId="72BCCA45" w14:textId="216C88D0" w:rsidR="00226014" w:rsidRPr="004E6386" w:rsidRDefault="00226014" w:rsidP="00226014">
      <w:pPr>
        <w:jc w:val="both"/>
        <w:rPr>
          <w:lang w:val="en-US"/>
        </w:rPr>
      </w:pPr>
      <w:r w:rsidRPr="004E6386">
        <w:rPr>
          <w:lang w:val="en-US"/>
        </w:rPr>
        <w:t xml:space="preserve">In this contribution we </w:t>
      </w:r>
      <w:r w:rsidR="00775C57">
        <w:rPr>
          <w:lang w:val="en-US"/>
        </w:rPr>
        <w:t>observe the following:</w:t>
      </w:r>
    </w:p>
    <w:p w14:paraId="3C4C184E" w14:textId="77777777" w:rsidR="0069618E" w:rsidRPr="006A0F6C" w:rsidRDefault="0069618E" w:rsidP="0069618E">
      <w:pPr>
        <w:rPr>
          <w:rFonts w:eastAsia="MS Mincho"/>
          <w:b/>
        </w:rPr>
      </w:pPr>
      <w:r w:rsidRPr="006A0F6C">
        <w:rPr>
          <w:rFonts w:eastAsia="MS Mincho"/>
          <w:b/>
        </w:rPr>
        <w:t>Observation 1: PRACH partitioning reduces the PRACH resources for both EDT capable UE and legacy (Rel-13 and Rel-14) MTC UEs.</w:t>
      </w:r>
    </w:p>
    <w:p w14:paraId="06047D9C" w14:textId="77777777" w:rsidR="0069618E" w:rsidRPr="006A0F6C" w:rsidRDefault="0069618E" w:rsidP="0069618E">
      <w:pPr>
        <w:rPr>
          <w:rFonts w:eastAsia="MS Mincho"/>
          <w:b/>
          <w:lang w:val="en-US"/>
        </w:rPr>
      </w:pPr>
      <w:r w:rsidRPr="006A0F6C">
        <w:rPr>
          <w:rFonts w:eastAsia="MS Mincho"/>
          <w:b/>
        </w:rPr>
        <w:t>Observation 2: If the PRACH partition for EDT request indication is not shared with legacy UE, the RAR does not need to be backward compatible.</w:t>
      </w:r>
    </w:p>
    <w:p w14:paraId="40684315" w14:textId="77777777" w:rsidR="00FC5E22" w:rsidRPr="00B22AF1" w:rsidRDefault="00FC5E22" w:rsidP="00B22AF1">
      <w:pPr>
        <w:rPr>
          <w:rFonts w:eastAsia="MS Mincho"/>
          <w:b/>
          <w:lang w:val="en-US"/>
        </w:rPr>
      </w:pPr>
    </w:p>
    <w:p w14:paraId="05E93175" w14:textId="2A50927C" w:rsidR="00226014" w:rsidRDefault="00226014" w:rsidP="00226014">
      <w:pPr>
        <w:jc w:val="both"/>
        <w:rPr>
          <w:lang w:val="en-US"/>
        </w:rPr>
      </w:pPr>
      <w:r w:rsidRPr="004E6386">
        <w:rPr>
          <w:lang w:val="en-US"/>
        </w:rPr>
        <w:t>We therefore propose the following:</w:t>
      </w:r>
    </w:p>
    <w:p w14:paraId="337833DC" w14:textId="77777777" w:rsidR="0069618E" w:rsidRPr="00784908" w:rsidRDefault="0069618E" w:rsidP="0069618E">
      <w:pPr>
        <w:rPr>
          <w:rFonts w:eastAsia="MS Mincho"/>
          <w:b/>
          <w:lang w:val="en-US"/>
        </w:rPr>
      </w:pPr>
      <w:r w:rsidRPr="00784908">
        <w:rPr>
          <w:rFonts w:eastAsia="MS Mincho"/>
          <w:b/>
          <w:lang w:val="en-US"/>
        </w:rPr>
        <w:t xml:space="preserve">Proposal 1: The PRACH </w:t>
      </w:r>
      <w:r>
        <w:rPr>
          <w:rFonts w:eastAsia="MS Mincho"/>
          <w:b/>
          <w:lang w:val="en-US"/>
        </w:rPr>
        <w:t>resource/</w:t>
      </w:r>
      <w:r w:rsidRPr="00784908">
        <w:rPr>
          <w:rFonts w:eastAsia="MS Mincho"/>
          <w:b/>
          <w:lang w:val="en-US"/>
        </w:rPr>
        <w:t xml:space="preserve">partition for Msg3 EDT request indication can be configured to </w:t>
      </w:r>
      <w:r>
        <w:rPr>
          <w:rFonts w:eastAsia="MS Mincho"/>
          <w:b/>
          <w:lang w:val="en-US"/>
        </w:rPr>
        <w:t xml:space="preserve">be </w:t>
      </w:r>
      <w:r w:rsidRPr="00784908">
        <w:rPr>
          <w:rFonts w:eastAsia="MS Mincho"/>
          <w:b/>
          <w:lang w:val="en-US"/>
        </w:rPr>
        <w:t>share</w:t>
      </w:r>
      <w:r>
        <w:rPr>
          <w:rFonts w:eastAsia="MS Mincho"/>
          <w:b/>
          <w:lang w:val="en-US"/>
        </w:rPr>
        <w:t>d</w:t>
      </w:r>
      <w:r w:rsidRPr="00784908">
        <w:rPr>
          <w:rFonts w:eastAsia="MS Mincho"/>
          <w:b/>
          <w:lang w:val="en-US"/>
        </w:rPr>
        <w:t xml:space="preserve"> with legacy (Rel-13 and Rel-14) UEs.</w:t>
      </w:r>
    </w:p>
    <w:p w14:paraId="7C4C1D77" w14:textId="77777777" w:rsidR="0069618E" w:rsidRPr="0069618E" w:rsidRDefault="0069618E" w:rsidP="0069618E">
      <w:pPr>
        <w:rPr>
          <w:rFonts w:eastAsia="MS Mincho"/>
          <w:b/>
          <w:lang w:val="en-US"/>
        </w:rPr>
      </w:pPr>
      <w:r w:rsidRPr="0069618E">
        <w:rPr>
          <w:rFonts w:eastAsia="MS Mincho"/>
          <w:b/>
          <w:lang w:val="en-US"/>
        </w:rPr>
        <w:t>Proposal 2: If the PRACH resource/partition for EDT is shared with legacy UE, use a separate CSS for EDT and legacy UE in scheduling of the retransmission of Msg3.</w:t>
      </w:r>
    </w:p>
    <w:p w14:paraId="409C1B3C" w14:textId="61BE04E7" w:rsidR="00C30E8F" w:rsidRPr="00C30E8F" w:rsidRDefault="00C30E8F" w:rsidP="00C30E8F">
      <w:pPr>
        <w:rPr>
          <w:rFonts w:eastAsia="MS Mincho"/>
          <w:b/>
          <w:lang w:val="en-US"/>
        </w:rPr>
      </w:pPr>
    </w:p>
    <w:p w14:paraId="531D7ED8" w14:textId="77777777" w:rsidR="00226014" w:rsidRDefault="00226014" w:rsidP="00226014">
      <w:pPr>
        <w:pStyle w:val="Heading1"/>
        <w:numPr>
          <w:ilvl w:val="0"/>
          <w:numId w:val="9"/>
        </w:numPr>
      </w:pPr>
      <w:r>
        <w:t>References</w:t>
      </w:r>
    </w:p>
    <w:p w14:paraId="471F359C" w14:textId="1AE64953" w:rsidR="006A0F6C" w:rsidRDefault="007A3750" w:rsidP="006A0F6C">
      <w:r>
        <w:t xml:space="preserve">[1] </w:t>
      </w:r>
      <w:r w:rsidR="006A0F6C">
        <w:t>R1-1719350, “Early data transmission for MTC,” Ericsson, RAN1#91</w:t>
      </w:r>
    </w:p>
    <w:p w14:paraId="509A4472" w14:textId="2522E03C" w:rsidR="00E90839" w:rsidRDefault="006A0F6C" w:rsidP="006A0F6C">
      <w:r>
        <w:t>[2] R1-1719462, “Early data transmission for eFeMTC,” Huawei, HiSilicon, RAN1#91</w:t>
      </w:r>
    </w:p>
    <w:sectPr w:rsidR="00E9083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602253" w16cid:durableId="1E2E501F"/>
  <w16cid:commentId w16cid:paraId="1F9987E5" w16cid:durableId="1E2E4F31"/>
  <w16cid:commentId w16cid:paraId="039EF850" w16cid:durableId="1E2E4F32"/>
  <w16cid:commentId w16cid:paraId="53C50636" w16cid:durableId="1E2E50BF"/>
  <w16cid:commentId w16cid:paraId="3D980322" w16cid:durableId="1E2E4F33"/>
  <w16cid:commentId w16cid:paraId="7AA95983" w16cid:durableId="1E2E51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87A7B" w14:textId="77777777" w:rsidR="00CD03D8" w:rsidRDefault="00CD03D8">
      <w:r>
        <w:separator/>
      </w:r>
    </w:p>
  </w:endnote>
  <w:endnote w:type="continuationSeparator" w:id="0">
    <w:p w14:paraId="21B921FB" w14:textId="77777777" w:rsidR="00CD03D8" w:rsidRDefault="00CD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3FB0E" w14:textId="77777777" w:rsidR="00CD03D8" w:rsidRDefault="00CD03D8">
      <w:r>
        <w:separator/>
      </w:r>
    </w:p>
  </w:footnote>
  <w:footnote w:type="continuationSeparator" w:id="0">
    <w:p w14:paraId="10C171C1" w14:textId="77777777" w:rsidR="00CD03D8" w:rsidRDefault="00CD03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1B765B"/>
    <w:multiLevelType w:val="hybridMultilevel"/>
    <w:tmpl w:val="85962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BD23AA"/>
    <w:multiLevelType w:val="hybridMultilevel"/>
    <w:tmpl w:val="ECE24580"/>
    <w:lvl w:ilvl="0" w:tplc="B5C035C8">
      <w:start w:val="1"/>
      <w:numFmt w:val="bullet"/>
      <w:lvlText w:val="•"/>
      <w:lvlJc w:val="left"/>
      <w:pPr>
        <w:tabs>
          <w:tab w:val="num" w:pos="644"/>
        </w:tabs>
        <w:ind w:left="644" w:hanging="360"/>
      </w:pPr>
      <w:rPr>
        <w:rFonts w:ascii="Arial" w:hAnsi="Arial" w:hint="default"/>
      </w:rPr>
    </w:lvl>
    <w:lvl w:ilvl="1" w:tplc="A8E61728">
      <w:start w:val="1"/>
      <w:numFmt w:val="bullet"/>
      <w:lvlText w:val="•"/>
      <w:lvlJc w:val="left"/>
      <w:pPr>
        <w:tabs>
          <w:tab w:val="num" w:pos="1364"/>
        </w:tabs>
        <w:ind w:left="1364" w:hanging="360"/>
      </w:pPr>
      <w:rPr>
        <w:rFonts w:ascii="Arial" w:hAnsi="Arial" w:hint="default"/>
      </w:rPr>
    </w:lvl>
    <w:lvl w:ilvl="2" w:tplc="A2064EB2">
      <w:numFmt w:val="bullet"/>
      <w:lvlText w:val="•"/>
      <w:lvlJc w:val="left"/>
      <w:pPr>
        <w:tabs>
          <w:tab w:val="num" w:pos="2084"/>
        </w:tabs>
        <w:ind w:left="2084" w:hanging="360"/>
      </w:pPr>
      <w:rPr>
        <w:rFonts w:ascii="Arial" w:hAnsi="Arial" w:hint="default"/>
      </w:rPr>
    </w:lvl>
    <w:lvl w:ilvl="3" w:tplc="8F867344" w:tentative="1">
      <w:start w:val="1"/>
      <w:numFmt w:val="bullet"/>
      <w:lvlText w:val="•"/>
      <w:lvlJc w:val="left"/>
      <w:pPr>
        <w:tabs>
          <w:tab w:val="num" w:pos="2804"/>
        </w:tabs>
        <w:ind w:left="2804" w:hanging="360"/>
      </w:pPr>
      <w:rPr>
        <w:rFonts w:ascii="Arial" w:hAnsi="Arial" w:hint="default"/>
      </w:rPr>
    </w:lvl>
    <w:lvl w:ilvl="4" w:tplc="52C2385E" w:tentative="1">
      <w:start w:val="1"/>
      <w:numFmt w:val="bullet"/>
      <w:lvlText w:val="•"/>
      <w:lvlJc w:val="left"/>
      <w:pPr>
        <w:tabs>
          <w:tab w:val="num" w:pos="3524"/>
        </w:tabs>
        <w:ind w:left="3524" w:hanging="360"/>
      </w:pPr>
      <w:rPr>
        <w:rFonts w:ascii="Arial" w:hAnsi="Arial" w:hint="default"/>
      </w:rPr>
    </w:lvl>
    <w:lvl w:ilvl="5" w:tplc="E1FE602A" w:tentative="1">
      <w:start w:val="1"/>
      <w:numFmt w:val="bullet"/>
      <w:lvlText w:val="•"/>
      <w:lvlJc w:val="left"/>
      <w:pPr>
        <w:tabs>
          <w:tab w:val="num" w:pos="4244"/>
        </w:tabs>
        <w:ind w:left="4244" w:hanging="360"/>
      </w:pPr>
      <w:rPr>
        <w:rFonts w:ascii="Arial" w:hAnsi="Arial" w:hint="default"/>
      </w:rPr>
    </w:lvl>
    <w:lvl w:ilvl="6" w:tplc="99B416E2" w:tentative="1">
      <w:start w:val="1"/>
      <w:numFmt w:val="bullet"/>
      <w:lvlText w:val="•"/>
      <w:lvlJc w:val="left"/>
      <w:pPr>
        <w:tabs>
          <w:tab w:val="num" w:pos="4964"/>
        </w:tabs>
        <w:ind w:left="4964" w:hanging="360"/>
      </w:pPr>
      <w:rPr>
        <w:rFonts w:ascii="Arial" w:hAnsi="Arial" w:hint="default"/>
      </w:rPr>
    </w:lvl>
    <w:lvl w:ilvl="7" w:tplc="2F7296C6" w:tentative="1">
      <w:start w:val="1"/>
      <w:numFmt w:val="bullet"/>
      <w:lvlText w:val="•"/>
      <w:lvlJc w:val="left"/>
      <w:pPr>
        <w:tabs>
          <w:tab w:val="num" w:pos="5684"/>
        </w:tabs>
        <w:ind w:left="5684" w:hanging="360"/>
      </w:pPr>
      <w:rPr>
        <w:rFonts w:ascii="Arial" w:hAnsi="Arial" w:hint="default"/>
      </w:rPr>
    </w:lvl>
    <w:lvl w:ilvl="8" w:tplc="BBD6AC3E"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8"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4"/>
  </w:num>
  <w:num w:numId="2">
    <w:abstractNumId w:val="22"/>
  </w:num>
  <w:num w:numId="3">
    <w:abstractNumId w:val="15"/>
  </w:num>
  <w:num w:numId="4">
    <w:abstractNumId w:val="13"/>
  </w:num>
  <w:num w:numId="5">
    <w:abstractNumId w:val="2"/>
  </w:num>
  <w:num w:numId="6">
    <w:abstractNumId w:val="21"/>
  </w:num>
  <w:num w:numId="7">
    <w:abstractNumId w:val="20"/>
  </w:num>
  <w:num w:numId="8">
    <w:abstractNumId w:val="23"/>
  </w:num>
  <w:num w:numId="9">
    <w:abstractNumId w:val="0"/>
  </w:num>
  <w:num w:numId="10">
    <w:abstractNumId w:val="17"/>
  </w:num>
  <w:num w:numId="11">
    <w:abstractNumId w:val="7"/>
  </w:num>
  <w:num w:numId="12">
    <w:abstractNumId w:val="1"/>
  </w:num>
  <w:num w:numId="13">
    <w:abstractNumId w:val="18"/>
  </w:num>
  <w:num w:numId="14">
    <w:abstractNumId w:val="4"/>
  </w:num>
  <w:num w:numId="15">
    <w:abstractNumId w:val="19"/>
  </w:num>
  <w:num w:numId="16">
    <w:abstractNumId w:val="6"/>
  </w:num>
  <w:num w:numId="17">
    <w:abstractNumId w:val="10"/>
  </w:num>
  <w:num w:numId="18">
    <w:abstractNumId w:val="16"/>
  </w:num>
  <w:num w:numId="19">
    <w:abstractNumId w:val="9"/>
  </w:num>
  <w:num w:numId="20">
    <w:abstractNumId w:val="3"/>
  </w:num>
  <w:num w:numId="21">
    <w:abstractNumId w:val="8"/>
  </w:num>
  <w:num w:numId="22">
    <w:abstractNumId w:val="12"/>
  </w:num>
  <w:num w:numId="23">
    <w:abstractNumId w:val="11"/>
  </w:num>
  <w:num w:numId="2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22D"/>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BFA"/>
    <w:rsid w:val="00151FBD"/>
    <w:rsid w:val="00154485"/>
    <w:rsid w:val="001550F7"/>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E7431"/>
    <w:rsid w:val="001F0541"/>
    <w:rsid w:val="001F06F5"/>
    <w:rsid w:val="001F089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896"/>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5FB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8EF"/>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31C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A73"/>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35F"/>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27F7C"/>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074"/>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8F6"/>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6ADA"/>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18E"/>
    <w:rsid w:val="00696829"/>
    <w:rsid w:val="00696F27"/>
    <w:rsid w:val="006A0179"/>
    <w:rsid w:val="006A0452"/>
    <w:rsid w:val="006A09C8"/>
    <w:rsid w:val="006A0CCF"/>
    <w:rsid w:val="006A0F6C"/>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3F6"/>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17C8"/>
    <w:rsid w:val="007821F6"/>
    <w:rsid w:val="007823D9"/>
    <w:rsid w:val="00784908"/>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B5E"/>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6660"/>
    <w:rsid w:val="007D78CC"/>
    <w:rsid w:val="007E1342"/>
    <w:rsid w:val="007E169E"/>
    <w:rsid w:val="007E1A2A"/>
    <w:rsid w:val="007E23B7"/>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5ED"/>
    <w:rsid w:val="008418C1"/>
    <w:rsid w:val="008419EB"/>
    <w:rsid w:val="008426FE"/>
    <w:rsid w:val="00843091"/>
    <w:rsid w:val="008430BD"/>
    <w:rsid w:val="008434CD"/>
    <w:rsid w:val="008436FA"/>
    <w:rsid w:val="00843CA0"/>
    <w:rsid w:val="00843DCB"/>
    <w:rsid w:val="00844222"/>
    <w:rsid w:val="0084477E"/>
    <w:rsid w:val="00844FA2"/>
    <w:rsid w:val="0084523D"/>
    <w:rsid w:val="00846477"/>
    <w:rsid w:val="008469E3"/>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740"/>
    <w:rsid w:val="008D6B0A"/>
    <w:rsid w:val="008D6F38"/>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6F45"/>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C2569"/>
    <w:rsid w:val="009C2EE1"/>
    <w:rsid w:val="009C30E6"/>
    <w:rsid w:val="009C329E"/>
    <w:rsid w:val="009C367C"/>
    <w:rsid w:val="009C485B"/>
    <w:rsid w:val="009C496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3809"/>
    <w:rsid w:val="009E535F"/>
    <w:rsid w:val="009E59CA"/>
    <w:rsid w:val="009E5AA9"/>
    <w:rsid w:val="009E6EC6"/>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1C17"/>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323"/>
    <w:rsid w:val="00AA2C7A"/>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4E3"/>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ACC"/>
    <w:rsid w:val="00B97CA1"/>
    <w:rsid w:val="00BA04C9"/>
    <w:rsid w:val="00BA078E"/>
    <w:rsid w:val="00BA0AD2"/>
    <w:rsid w:val="00BA0CDD"/>
    <w:rsid w:val="00BA0FF9"/>
    <w:rsid w:val="00BA1C26"/>
    <w:rsid w:val="00BA2092"/>
    <w:rsid w:val="00BA237C"/>
    <w:rsid w:val="00BA23D3"/>
    <w:rsid w:val="00BA3616"/>
    <w:rsid w:val="00BA5AC7"/>
    <w:rsid w:val="00BA7584"/>
    <w:rsid w:val="00BA76A2"/>
    <w:rsid w:val="00BA7CF8"/>
    <w:rsid w:val="00BB153F"/>
    <w:rsid w:val="00BB157D"/>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4D39"/>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FB9"/>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0E8F"/>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142"/>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3D8"/>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556"/>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2BA4"/>
    <w:rsid w:val="00CF3F29"/>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6F1"/>
    <w:rsid w:val="00DD2AC5"/>
    <w:rsid w:val="00DD4B76"/>
    <w:rsid w:val="00DD4E7D"/>
    <w:rsid w:val="00DD56CE"/>
    <w:rsid w:val="00DD6B4C"/>
    <w:rsid w:val="00DE0EB9"/>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450"/>
    <w:rsid w:val="00E212FF"/>
    <w:rsid w:val="00E21E3B"/>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5C1C"/>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5E22"/>
    <w:rsid w:val="00FC6A7C"/>
    <w:rsid w:val="00FC737A"/>
    <w:rsid w:val="00FC7A28"/>
    <w:rsid w:val="00FC7B22"/>
    <w:rsid w:val="00FC7C4A"/>
    <w:rsid w:val="00FD0B50"/>
    <w:rsid w:val="00FD0D9E"/>
    <w:rsid w:val="00FD0DE5"/>
    <w:rsid w:val="00FD0F6F"/>
    <w:rsid w:val="00FD0FD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44DD"/>
    <w:rsid w:val="00FF486B"/>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C17"/>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A01C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1C17"/>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8CA13-1DB0-466E-83CA-65B62AE38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856</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2018-02-16T11:55:00Z</dcterms:created>
  <dcterms:modified xsi:type="dcterms:W3CDTF">2018-02-16T20:17:00Z</dcterms:modified>
</cp:coreProperties>
</file>